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黑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2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全南县特岗教师招聘面试评分标准</w:t>
      </w:r>
      <w:bookmarkStart w:id="0" w:name="_GoBack"/>
      <w:bookmarkEnd w:id="0"/>
    </w:p>
    <w:tbl>
      <w:tblPr>
        <w:tblStyle w:val="4"/>
        <w:tblW w:w="9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7358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73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 价 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标 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教学目标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1.教学目标明确、具体，符合新课标要求，体现素质教育精神；</w:t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2.三维目标深广度恰当，符合学生实际；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3. 重难点把握准确，解决得好。</w:t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0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教学内容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10分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1.内容具有科学性、系统性，即内容正确，层次结构清楚，整体设计符合学生认知规律；知识容量适度，并能抓住关键，突出重点；</w:t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 重视学生能力培养，内容的选择合理有效，渗透思想教育于学科教学之中，有利于吸引学生注意、激发兴趣、陶冶情操。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教学方法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1.符合教学目标和内容的要求，并能启发学生思维，调动学习的积极性；教法灵活、多样、新颖、具有创新意识；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 循序渐进地实施教学目标，创设的教学情境有利于发挥学生的主体作用，激发学生的学习兴趣。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教学能力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1.指挥、调配得当，具有驾驭课堂的应变能力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2.传授知识准确无误，系统性强；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3.结构设计完整合理，层次清楚，适应不同层次的学生需要；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4. 基本功扎实，专业技能强，教态大方，亲切而不拘谨。</w:t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教学效果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1.较好地完成教学任务，教学时间控制得当；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2.学生基本理解、学会、掌握当堂知识技能，能达到教学目标；</w:t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3.能体现信息技术与学科整合的有效性、先进性，优化教学过程，提高课堂教学效率。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根据实际情况和教学需要，充分体现学生主体地位，以“自主、探究、合作”为特征的教与学方式，促进教学的最优化；</w:t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0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激发学生学习兴趣，有利于学生个性培养及心智技能、自学能力、观察能力、操作能力、创新能力的提高；</w:t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4.教学资源的选择科学、合理，与教学方法、教学内容密切结合，教学效果显著；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F2F2F"/>
                <w:kern w:val="0"/>
                <w:sz w:val="21"/>
                <w:szCs w:val="21"/>
              </w:rPr>
              <w:t>总  分</w:t>
            </w:r>
          </w:p>
        </w:tc>
        <w:tc>
          <w:tcPr>
            <w:tcW w:w="821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03" w:type="dxa"/>
            <w:noWrap w:val="0"/>
            <w:vAlign w:val="top"/>
          </w:tcPr>
          <w:p>
            <w:pPr>
              <w:spacing w:line="36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2F2F2F"/>
                <w:kern w:val="0"/>
                <w:sz w:val="21"/>
                <w:szCs w:val="21"/>
              </w:rPr>
              <w:t>评委意见</w:t>
            </w:r>
          </w:p>
        </w:tc>
        <w:tc>
          <w:tcPr>
            <w:tcW w:w="821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每位考生面试时间10分钟。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B2737"/>
    <w:rsid w:val="38A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2020-08-13T02:30:00Z</dcterms:created>
  <dc:creator>李智</dc:creator>
  <cp:lastModifiedBy>李智</cp:lastModifiedBy>
  <dcterms:modified xsi:type="dcterms:W3CDTF">2020-08-13T02:30:25Z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